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55" w:rsidRPr="000528D4" w:rsidRDefault="00314789" w:rsidP="004418F3">
      <w:pPr>
        <w:spacing w:line="500" w:lineRule="exact"/>
        <w:jc w:val="center"/>
        <w:rPr>
          <w:color w:val="3333CC"/>
          <w:sz w:val="28"/>
          <w:szCs w:val="28"/>
        </w:rPr>
      </w:pPr>
      <w:proofErr w:type="gramStart"/>
      <w:r w:rsidRPr="000528D4">
        <w:rPr>
          <w:rFonts w:hint="eastAsia"/>
          <w:color w:val="3333CC"/>
          <w:sz w:val="28"/>
          <w:szCs w:val="28"/>
        </w:rPr>
        <w:t>102</w:t>
      </w:r>
      <w:proofErr w:type="gramEnd"/>
      <w:r w:rsidR="00BB6955" w:rsidRPr="000528D4">
        <w:rPr>
          <w:rFonts w:hint="eastAsia"/>
          <w:color w:val="3333CC"/>
          <w:sz w:val="28"/>
          <w:szCs w:val="28"/>
        </w:rPr>
        <w:t>年度企業管理專題</w:t>
      </w:r>
    </w:p>
    <w:p w:rsidR="00BB6955" w:rsidRPr="000528D4" w:rsidRDefault="00BB6955" w:rsidP="004418F3">
      <w:pPr>
        <w:spacing w:line="500" w:lineRule="exact"/>
        <w:jc w:val="center"/>
        <w:rPr>
          <w:color w:val="3333CC"/>
          <w:sz w:val="28"/>
          <w:szCs w:val="28"/>
        </w:rPr>
      </w:pPr>
      <w:r w:rsidRPr="000528D4">
        <w:rPr>
          <w:rFonts w:hint="eastAsia"/>
          <w:color w:val="3333CC"/>
          <w:sz w:val="28"/>
          <w:szCs w:val="28"/>
        </w:rPr>
        <w:t>主題：</w:t>
      </w:r>
      <w:r w:rsidRPr="000528D4">
        <w:rPr>
          <w:color w:val="3333CC"/>
          <w:sz w:val="28"/>
          <w:szCs w:val="28"/>
        </w:rPr>
        <w:t>影響服務破壞行為因素之研究</w:t>
      </w:r>
      <w:r w:rsidR="000528D4" w:rsidRPr="000528D4">
        <w:rPr>
          <w:rFonts w:ascii="標楷體" w:eastAsia="標楷體" w:hAnsi="標楷體" w:hint="eastAsia"/>
          <w:color w:val="3333CC"/>
          <w:sz w:val="28"/>
          <w:szCs w:val="28"/>
        </w:rPr>
        <w:t>-</w:t>
      </w:r>
      <w:r w:rsidR="000528D4" w:rsidRPr="000E6A9A">
        <w:rPr>
          <w:rFonts w:asciiTheme="majorEastAsia" w:eastAsiaTheme="majorEastAsia" w:hAnsiTheme="majorEastAsia" w:hint="eastAsia"/>
          <w:color w:val="3333CC"/>
          <w:sz w:val="28"/>
          <w:szCs w:val="28"/>
        </w:rPr>
        <w:t>以</w:t>
      </w:r>
      <w:r w:rsidR="000528D4" w:rsidRPr="000E6A9A">
        <w:rPr>
          <w:rFonts w:asciiTheme="majorEastAsia" w:eastAsiaTheme="majorEastAsia" w:hAnsiTheme="majorEastAsia"/>
          <w:color w:val="3333CC"/>
          <w:sz w:val="28"/>
          <w:szCs w:val="28"/>
        </w:rPr>
        <w:t>台北地區服務業為例</w:t>
      </w:r>
    </w:p>
    <w:p w:rsidR="0013149E" w:rsidRPr="000528D4" w:rsidRDefault="00BB6955" w:rsidP="004418F3">
      <w:pPr>
        <w:spacing w:line="500" w:lineRule="exact"/>
        <w:jc w:val="center"/>
        <w:rPr>
          <w:color w:val="3333CC"/>
          <w:sz w:val="28"/>
          <w:szCs w:val="28"/>
        </w:rPr>
      </w:pPr>
      <w:r w:rsidRPr="000528D4">
        <w:rPr>
          <w:rFonts w:hint="eastAsia"/>
          <w:color w:val="3333CC"/>
        </w:rPr>
        <w:t>指導老師：</w:t>
      </w:r>
      <w:r w:rsidRPr="000528D4">
        <w:rPr>
          <w:rFonts w:hint="eastAsia"/>
          <w:color w:val="3333CC"/>
          <w:sz w:val="28"/>
          <w:szCs w:val="28"/>
        </w:rPr>
        <w:t>葉晶雯</w:t>
      </w:r>
      <w:r w:rsidRPr="000528D4">
        <w:rPr>
          <w:rFonts w:hint="eastAsia"/>
          <w:color w:val="3333CC"/>
          <w:sz w:val="28"/>
          <w:szCs w:val="28"/>
        </w:rPr>
        <w:t xml:space="preserve"> </w:t>
      </w:r>
      <w:r w:rsidRPr="000528D4">
        <w:rPr>
          <w:rFonts w:hint="eastAsia"/>
          <w:color w:val="3333CC"/>
        </w:rPr>
        <w:t>老師</w:t>
      </w:r>
    </w:p>
    <w:p w:rsidR="00980183" w:rsidRPr="000528D4" w:rsidRDefault="00A23A54" w:rsidP="004418F3">
      <w:pPr>
        <w:spacing w:line="500" w:lineRule="exact"/>
        <w:rPr>
          <w:color w:val="3333CC"/>
        </w:rPr>
      </w:pPr>
      <w:r w:rsidRPr="000528D4">
        <w:rPr>
          <w:rFonts w:hint="eastAsia"/>
          <w:color w:val="3333CC"/>
        </w:rPr>
        <w:t>組員：</w:t>
      </w:r>
      <w:r w:rsidR="00BB6955" w:rsidRPr="000528D4">
        <w:rPr>
          <w:rFonts w:hint="eastAsia"/>
          <w:color w:val="3333CC"/>
        </w:rPr>
        <w:t>許秀雙、郭建志、許富凱、林子傑、詹幸爾、黃幸君、王</w:t>
      </w:r>
      <w:proofErr w:type="gramStart"/>
      <w:r w:rsidR="00BB6955" w:rsidRPr="000528D4">
        <w:rPr>
          <w:rFonts w:hint="eastAsia"/>
          <w:color w:val="3333CC"/>
        </w:rPr>
        <w:t>祐</w:t>
      </w:r>
      <w:proofErr w:type="gramEnd"/>
      <w:r w:rsidR="00BB6955" w:rsidRPr="000528D4">
        <w:rPr>
          <w:rFonts w:hint="eastAsia"/>
          <w:color w:val="3333CC"/>
        </w:rPr>
        <w:t>庭、盧業文</w:t>
      </w:r>
    </w:p>
    <w:p w:rsidR="00980183" w:rsidRPr="000528D4" w:rsidRDefault="00980183" w:rsidP="00980183">
      <w:pPr>
        <w:jc w:val="center"/>
        <w:rPr>
          <w:color w:val="3333CC"/>
        </w:rPr>
      </w:pPr>
    </w:p>
    <w:p w:rsidR="00980183" w:rsidRPr="00980183" w:rsidRDefault="00980183" w:rsidP="00980183">
      <w:pPr>
        <w:jc w:val="center"/>
        <w:rPr>
          <w:color w:val="0000FF"/>
        </w:rPr>
        <w:sectPr w:rsidR="00980183" w:rsidRPr="00980183" w:rsidSect="00980183">
          <w:pgSz w:w="11906" w:h="16838"/>
          <w:pgMar w:top="1701" w:right="1701" w:bottom="1701" w:left="1701" w:header="851" w:footer="992" w:gutter="0"/>
          <w:cols w:space="425"/>
          <w:docGrid w:type="lines"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FF"/>
        <w:tblLook w:val="01E0"/>
      </w:tblPr>
      <w:tblGrid>
        <w:gridCol w:w="4255"/>
      </w:tblGrid>
      <w:tr w:rsidR="006D7290" w:rsidRPr="0001682F" w:rsidTr="00980183">
        <w:tc>
          <w:tcPr>
            <w:tcW w:w="4255" w:type="dxa"/>
            <w:shd w:val="clear" w:color="auto" w:fill="0099FF"/>
          </w:tcPr>
          <w:p w:rsidR="006D7290" w:rsidRPr="0001682F" w:rsidRDefault="006D7290" w:rsidP="00AC52F8">
            <w:pPr>
              <w:rPr>
                <w:rFonts w:ascii="標楷體" w:eastAsia="標楷體" w:hAnsi="標楷體" w:cs="Arial"/>
                <w:b/>
                <w:sz w:val="24"/>
              </w:rPr>
            </w:pPr>
            <w:r w:rsidRPr="0001682F">
              <w:rPr>
                <w:rFonts w:ascii="標楷體" w:eastAsia="標楷體" w:hAnsi="標楷體" w:cs="Arial"/>
                <w:b/>
                <w:sz w:val="24"/>
              </w:rPr>
              <w:lastRenderedPageBreak/>
              <w:t>一、摘要</w:t>
            </w:r>
          </w:p>
        </w:tc>
      </w:tr>
    </w:tbl>
    <w:p w:rsidR="0001682F" w:rsidRDefault="00584801" w:rsidP="00BB6955">
      <w:pPr>
        <w:rPr>
          <w:rFonts w:ascii="標楷體" w:eastAsia="標楷體" w:hAnsi="標楷體" w:cs="Arial"/>
        </w:rPr>
      </w:pPr>
      <w:r w:rsidRPr="0001682F">
        <w:rPr>
          <w:rFonts w:ascii="標楷體" w:eastAsia="標楷體" w:hAnsi="標楷體" w:cs="Arial"/>
        </w:rPr>
        <w:t>由於服務業的特性使然，顧客對於服務的好壞評斷不只侷限在所購買的產品的品質上，更注重接受服務時服務人員的態度和行為表現。</w:t>
      </w:r>
    </w:p>
    <w:p w:rsidR="00BB6955" w:rsidRPr="004418F3" w:rsidRDefault="0001682F" w:rsidP="00BB6955">
      <w:pPr>
        <w:rPr>
          <w:rFonts w:eastAsia="標楷體"/>
          <w:b/>
        </w:rPr>
      </w:pPr>
      <w:r w:rsidRPr="004418F3">
        <w:rPr>
          <w:rFonts w:eastAsia="標楷體"/>
          <w:color w:val="000000"/>
        </w:rPr>
        <w:t xml:space="preserve">Upon the nature and </w:t>
      </w:r>
      <w:r w:rsidR="00584801" w:rsidRPr="004418F3">
        <w:rPr>
          <w:rFonts w:eastAsia="標楷體"/>
          <w:color w:val="000000"/>
        </w:rPr>
        <w:t xml:space="preserve">characteristics of services, factors affecting customers’ judge over service are not confined to the quality of products, but service staff’s attitude and behavior.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FF"/>
        <w:tblLook w:val="01E0"/>
      </w:tblPr>
      <w:tblGrid>
        <w:gridCol w:w="4255"/>
      </w:tblGrid>
      <w:tr w:rsidR="006D7290" w:rsidRPr="0001682F" w:rsidTr="00980183">
        <w:tc>
          <w:tcPr>
            <w:tcW w:w="4255" w:type="dxa"/>
            <w:shd w:val="clear" w:color="auto" w:fill="0099FF"/>
          </w:tcPr>
          <w:p w:rsidR="006D7290" w:rsidRPr="0001682F" w:rsidRDefault="003A2338" w:rsidP="00AC52F8">
            <w:pPr>
              <w:rPr>
                <w:rFonts w:ascii="標楷體" w:eastAsia="標楷體" w:hAnsi="標楷體" w:cs="Arial"/>
                <w:b/>
                <w:sz w:val="24"/>
              </w:rPr>
            </w:pPr>
            <w:r w:rsidRPr="0001682F">
              <w:rPr>
                <w:rFonts w:ascii="標楷體" w:eastAsia="標楷體" w:hAnsi="標楷體" w:cs="Arial"/>
                <w:b/>
                <w:sz w:val="24"/>
              </w:rPr>
              <w:t>二、研究動機</w:t>
            </w:r>
          </w:p>
        </w:tc>
      </w:tr>
    </w:tbl>
    <w:p w:rsidR="006D7290" w:rsidRPr="00980183" w:rsidRDefault="00980183" w:rsidP="00980183">
      <w:pPr>
        <w:ind w:firstLine="480"/>
        <w:jc w:val="both"/>
        <w:rPr>
          <w:rFonts w:ascii="標楷體" w:eastAsia="標楷體" w:hAnsi="標楷體"/>
          <w:szCs w:val="22"/>
        </w:rPr>
      </w:pPr>
      <w:r w:rsidRPr="00B20D57">
        <w:rPr>
          <w:rFonts w:ascii="標楷體" w:eastAsia="標楷體" w:hAnsi="標楷體" w:hint="eastAsia"/>
          <w:szCs w:val="22"/>
        </w:rPr>
        <w:t>一般社會大眾都預期，服務業的員工應該要面帶微笑，真心誠意地為顧客服務。但第一線服務人員需要常時間與顧客接觸，因此必須付出相當程度的情緒勞務，並且可能會因為蠻橫顧客的出現，而使得員工壓力上升，進而對顧客採取報復之行動或是惡作劇。而不論是有意或只是好玩的破壞為都將會對服務品質產生負面的影響，甚至可能導致公司的重大損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FF"/>
        <w:tblLook w:val="01E0"/>
      </w:tblPr>
      <w:tblGrid>
        <w:gridCol w:w="4255"/>
      </w:tblGrid>
      <w:tr w:rsidR="006D7290" w:rsidRPr="0001682F" w:rsidTr="00AC52F8">
        <w:tc>
          <w:tcPr>
            <w:tcW w:w="4378" w:type="dxa"/>
            <w:shd w:val="clear" w:color="auto" w:fill="0099FF"/>
          </w:tcPr>
          <w:p w:rsidR="006D7290" w:rsidRPr="0001682F" w:rsidRDefault="003A2338" w:rsidP="00AC52F8">
            <w:pPr>
              <w:rPr>
                <w:rFonts w:ascii="標楷體" w:eastAsia="標楷體" w:hAnsi="標楷體" w:cs="Arial"/>
                <w:b/>
                <w:sz w:val="24"/>
              </w:rPr>
            </w:pPr>
            <w:r w:rsidRPr="0001682F">
              <w:rPr>
                <w:rFonts w:ascii="標楷體" w:eastAsia="標楷體" w:hAnsi="標楷體" w:cs="Arial"/>
                <w:b/>
                <w:sz w:val="24"/>
              </w:rPr>
              <w:t>三、研究目的</w:t>
            </w:r>
          </w:p>
        </w:tc>
      </w:tr>
    </w:tbl>
    <w:p w:rsidR="0001682F" w:rsidRPr="0001682F" w:rsidRDefault="0001682F" w:rsidP="0001682F">
      <w:pPr>
        <w:jc w:val="both"/>
        <w:rPr>
          <w:rFonts w:ascii="標楷體" w:eastAsia="標楷體" w:hAnsi="標楷體" w:cs="Arial"/>
        </w:rPr>
      </w:pPr>
      <w:r w:rsidRPr="0001682F">
        <w:rPr>
          <w:rFonts w:ascii="標楷體" w:eastAsia="標楷體" w:hAnsi="標楷體" w:cs="Arial"/>
        </w:rPr>
        <w:t>1.本研究希望能找出，會影響員工產生服務破壞行為的重要影響因素。</w:t>
      </w:r>
    </w:p>
    <w:p w:rsidR="006D7290" w:rsidRPr="0001682F" w:rsidRDefault="0001682F" w:rsidP="0001682F">
      <w:pPr>
        <w:jc w:val="both"/>
        <w:rPr>
          <w:rFonts w:ascii="標楷體" w:eastAsia="標楷體" w:hAnsi="標楷體" w:cs="Arial"/>
        </w:rPr>
      </w:pPr>
      <w:r w:rsidRPr="0001682F">
        <w:rPr>
          <w:rFonts w:ascii="標楷體" w:eastAsia="標楷體" w:hAnsi="標楷體" w:cs="Arial"/>
        </w:rPr>
        <w:t>2.提升管理上的建議，協助管理者避免員工服務破壞行為的產生。</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FF"/>
        <w:tblLook w:val="01E0"/>
      </w:tblPr>
      <w:tblGrid>
        <w:gridCol w:w="4255"/>
      </w:tblGrid>
      <w:tr w:rsidR="006D7290" w:rsidRPr="0001682F" w:rsidTr="004418F3">
        <w:tc>
          <w:tcPr>
            <w:tcW w:w="4255" w:type="dxa"/>
            <w:shd w:val="clear" w:color="auto" w:fill="0099FF"/>
          </w:tcPr>
          <w:p w:rsidR="006D7290" w:rsidRPr="0001682F" w:rsidRDefault="003A2338" w:rsidP="00AC52F8">
            <w:pPr>
              <w:rPr>
                <w:rFonts w:ascii="標楷體" w:eastAsia="標楷體" w:hAnsi="標楷體" w:cs="Arial"/>
                <w:b/>
                <w:sz w:val="24"/>
              </w:rPr>
            </w:pPr>
            <w:r w:rsidRPr="0001682F">
              <w:rPr>
                <w:rFonts w:ascii="標楷體" w:eastAsia="標楷體" w:hAnsi="標楷體" w:cs="Arial"/>
                <w:b/>
                <w:sz w:val="24"/>
              </w:rPr>
              <w:t>四、研究方法</w:t>
            </w:r>
          </w:p>
        </w:tc>
      </w:tr>
    </w:tbl>
    <w:p w:rsidR="006D7290" w:rsidRPr="0001682F" w:rsidRDefault="004418F3" w:rsidP="0001682F">
      <w:pPr>
        <w:jc w:val="both"/>
        <w:rPr>
          <w:rFonts w:ascii="標楷體" w:eastAsia="標楷體" w:hAnsi="標楷體" w:cs="Arial"/>
          <w:kern w:val="0"/>
          <w:lang w:val="zh-TW"/>
        </w:rPr>
      </w:pPr>
      <w:r w:rsidRPr="004418F3">
        <w:rPr>
          <w:rFonts w:ascii="標楷體" w:eastAsia="標楷體" w:hAnsi="標楷體" w:cs="Arial" w:hint="eastAsia"/>
          <w:kern w:val="0"/>
          <w:lang w:val="zh-TW"/>
        </w:rPr>
        <w:t>本研究以台北市服務業人員為研究對象。本研究採用便利抽樣法，發放地點為台北市設有便利商店與大賣場之區</w:t>
      </w:r>
      <w:r w:rsidRPr="004418F3">
        <w:rPr>
          <w:rFonts w:ascii="標楷體" w:eastAsia="標楷體" w:hAnsi="標楷體" w:cs="Arial" w:hint="eastAsia"/>
          <w:kern w:val="0"/>
          <w:lang w:val="zh-TW"/>
        </w:rPr>
        <w:lastRenderedPageBreak/>
        <w:t>域中華科技大學台北校區、台北信義威秀前廣場、台北西門町6號出口周邊、新店碧潭。共計發放560份問卷，剔除無效問卷56份，得有效問卷504份，故有效問卷回收率為90.0%。</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FF"/>
        <w:tblLook w:val="01E0"/>
      </w:tblPr>
      <w:tblGrid>
        <w:gridCol w:w="4255"/>
      </w:tblGrid>
      <w:tr w:rsidR="006D7290" w:rsidRPr="0001682F" w:rsidTr="00AC52F8">
        <w:tc>
          <w:tcPr>
            <w:tcW w:w="4378" w:type="dxa"/>
            <w:shd w:val="clear" w:color="auto" w:fill="0099FF"/>
          </w:tcPr>
          <w:p w:rsidR="006D7290" w:rsidRPr="0001682F" w:rsidRDefault="003A2338" w:rsidP="00AC52F8">
            <w:pPr>
              <w:rPr>
                <w:rFonts w:ascii="標楷體" w:eastAsia="標楷體" w:hAnsi="標楷體" w:cs="Arial"/>
                <w:b/>
                <w:sz w:val="24"/>
              </w:rPr>
            </w:pPr>
            <w:r w:rsidRPr="0001682F">
              <w:rPr>
                <w:rFonts w:ascii="標楷體" w:eastAsia="標楷體" w:hAnsi="標楷體" w:cs="Arial"/>
                <w:b/>
                <w:sz w:val="24"/>
              </w:rPr>
              <w:t>五、研究流程</w:t>
            </w:r>
          </w:p>
        </w:tc>
      </w:tr>
    </w:tbl>
    <w:p w:rsidR="006D7290" w:rsidRPr="0001682F" w:rsidRDefault="0001682F" w:rsidP="00BB6955">
      <w:pPr>
        <w:rPr>
          <w:rFonts w:ascii="標楷體" w:eastAsia="標楷體" w:hAnsi="標楷體" w:cs="Arial"/>
          <w:b/>
        </w:rPr>
      </w:pPr>
      <w:r w:rsidRPr="0001682F">
        <w:rPr>
          <w:rFonts w:ascii="標楷體" w:eastAsia="標楷體" w:hAnsi="標楷體" w:cs="Arial"/>
          <w:b/>
          <w:noProof/>
        </w:rPr>
        <w:drawing>
          <wp:inline distT="0" distB="0" distL="0" distR="0">
            <wp:extent cx="2552700" cy="2571749"/>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557479" cy="2576564"/>
                    </a:xfrm>
                    <a:prstGeom prst="rect">
                      <a:avLst/>
                    </a:prstGeom>
                    <a:noFill/>
                    <a:ln w="9525">
                      <a:noFill/>
                      <a:miter lim="800000"/>
                      <a:headEnd/>
                      <a:tailEnd/>
                    </a:ln>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FF"/>
        <w:tblLook w:val="01E0"/>
      </w:tblPr>
      <w:tblGrid>
        <w:gridCol w:w="4255"/>
      </w:tblGrid>
      <w:tr w:rsidR="003A2338" w:rsidRPr="0001682F" w:rsidTr="00AC52F8">
        <w:tc>
          <w:tcPr>
            <w:tcW w:w="4378" w:type="dxa"/>
            <w:shd w:val="clear" w:color="auto" w:fill="0099FF"/>
          </w:tcPr>
          <w:p w:rsidR="003A2338" w:rsidRPr="0001682F" w:rsidRDefault="003A2338" w:rsidP="00AC52F8">
            <w:pPr>
              <w:rPr>
                <w:rFonts w:ascii="標楷體" w:eastAsia="標楷體" w:hAnsi="標楷體" w:cs="Arial"/>
                <w:b/>
                <w:sz w:val="24"/>
              </w:rPr>
            </w:pPr>
            <w:r w:rsidRPr="0001682F">
              <w:rPr>
                <w:rFonts w:ascii="標楷體" w:eastAsia="標楷體" w:hAnsi="標楷體" w:cs="Arial"/>
                <w:b/>
                <w:sz w:val="24"/>
              </w:rPr>
              <w:t>六、結論與建議</w:t>
            </w:r>
          </w:p>
        </w:tc>
      </w:tr>
    </w:tbl>
    <w:p w:rsidR="0001682F" w:rsidRPr="0001682F" w:rsidRDefault="0001682F" w:rsidP="0001682F">
      <w:pPr>
        <w:ind w:firstLineChars="200" w:firstLine="480"/>
        <w:rPr>
          <w:rFonts w:ascii="標楷體" w:eastAsia="標楷體" w:hAnsi="標楷體" w:cs="Arial"/>
        </w:rPr>
      </w:pPr>
      <w:r w:rsidRPr="0001682F">
        <w:rPr>
          <w:rFonts w:ascii="標楷體" w:eastAsia="標楷體" w:hAnsi="標楷體" w:cs="Arial"/>
        </w:rPr>
        <w:t>企業可以制定培訓計劃來改善前線員工在與顧客互動和處理顧客情緒的能力，員工可以從瞭解顧客後判斷惡質顧客為哪種型態，以增加第一線員工的反應與危機處理能力。</w:t>
      </w:r>
    </w:p>
    <w:p w:rsidR="003A2338" w:rsidRPr="004418F3" w:rsidRDefault="0001682F" w:rsidP="00980183">
      <w:pPr>
        <w:rPr>
          <w:b/>
        </w:rPr>
      </w:pPr>
      <w:r w:rsidRPr="0001682F">
        <w:rPr>
          <w:rFonts w:ascii="標楷體" w:eastAsia="標楷體" w:hAnsi="標楷體" w:cs="Arial"/>
        </w:rPr>
        <w:t>管理者可透過本研究的成果，了解有那些因素會導致員工有服務破壞的意圖，並明白服務壞產生後會帶來的後續影響。另外也需要時常的注意員工的情緒負荷，必須讓員工能夠有適當的管道能夠抒發情緒勞務</w:t>
      </w:r>
      <w:r w:rsidR="00980183" w:rsidRPr="0001682F">
        <w:rPr>
          <w:rFonts w:ascii="標楷體" w:eastAsia="標楷體" w:hAnsi="標楷體" w:cs="Arial"/>
        </w:rPr>
        <w:t>。</w:t>
      </w:r>
    </w:p>
    <w:sectPr w:rsidR="003A2338" w:rsidRPr="004418F3" w:rsidSect="007D3A89">
      <w:type w:val="continuous"/>
      <w:pgSz w:w="11906" w:h="16838"/>
      <w:pgMar w:top="1701" w:right="1701" w:bottom="1701" w:left="1701"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999" w:rsidRDefault="00F52999" w:rsidP="0001682F">
      <w:r>
        <w:separator/>
      </w:r>
    </w:p>
  </w:endnote>
  <w:endnote w:type="continuationSeparator" w:id="0">
    <w:p w:rsidR="00F52999" w:rsidRDefault="00F52999" w:rsidP="000168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999" w:rsidRDefault="00F52999" w:rsidP="0001682F">
      <w:r>
        <w:separator/>
      </w:r>
    </w:p>
  </w:footnote>
  <w:footnote w:type="continuationSeparator" w:id="0">
    <w:p w:rsidR="00F52999" w:rsidRDefault="00F52999" w:rsidP="000168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6955"/>
    <w:rsid w:val="0001682F"/>
    <w:rsid w:val="000528D4"/>
    <w:rsid w:val="000E329E"/>
    <w:rsid w:val="000E6A9A"/>
    <w:rsid w:val="0013149E"/>
    <w:rsid w:val="00314789"/>
    <w:rsid w:val="003A2338"/>
    <w:rsid w:val="004418F3"/>
    <w:rsid w:val="00454490"/>
    <w:rsid w:val="0054277C"/>
    <w:rsid w:val="00584801"/>
    <w:rsid w:val="006D7290"/>
    <w:rsid w:val="00794F80"/>
    <w:rsid w:val="007D3A89"/>
    <w:rsid w:val="00811B8B"/>
    <w:rsid w:val="00980183"/>
    <w:rsid w:val="00A23A54"/>
    <w:rsid w:val="00BB6955"/>
    <w:rsid w:val="00F47DC8"/>
    <w:rsid w:val="00F5299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95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7290"/>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1682F"/>
    <w:pPr>
      <w:tabs>
        <w:tab w:val="center" w:pos="4153"/>
        <w:tab w:val="right" w:pos="8306"/>
      </w:tabs>
      <w:snapToGrid w:val="0"/>
    </w:pPr>
    <w:rPr>
      <w:sz w:val="20"/>
      <w:szCs w:val="20"/>
    </w:rPr>
  </w:style>
  <w:style w:type="character" w:customStyle="1" w:styleId="a5">
    <w:name w:val="頁首 字元"/>
    <w:basedOn w:val="a0"/>
    <w:link w:val="a4"/>
    <w:uiPriority w:val="99"/>
    <w:semiHidden/>
    <w:rsid w:val="0001682F"/>
    <w:rPr>
      <w:rFonts w:ascii="Times New Roman" w:eastAsia="新細明體" w:hAnsi="Times New Roman" w:cs="Times New Roman"/>
      <w:sz w:val="20"/>
      <w:szCs w:val="20"/>
    </w:rPr>
  </w:style>
  <w:style w:type="paragraph" w:styleId="a6">
    <w:name w:val="footer"/>
    <w:basedOn w:val="a"/>
    <w:link w:val="a7"/>
    <w:uiPriority w:val="99"/>
    <w:semiHidden/>
    <w:unhideWhenUsed/>
    <w:rsid w:val="0001682F"/>
    <w:pPr>
      <w:tabs>
        <w:tab w:val="center" w:pos="4153"/>
        <w:tab w:val="right" w:pos="8306"/>
      </w:tabs>
      <w:snapToGrid w:val="0"/>
    </w:pPr>
    <w:rPr>
      <w:sz w:val="20"/>
      <w:szCs w:val="20"/>
    </w:rPr>
  </w:style>
  <w:style w:type="character" w:customStyle="1" w:styleId="a7">
    <w:name w:val="頁尾 字元"/>
    <w:basedOn w:val="a0"/>
    <w:link w:val="a6"/>
    <w:uiPriority w:val="99"/>
    <w:semiHidden/>
    <w:rsid w:val="0001682F"/>
    <w:rPr>
      <w:rFonts w:ascii="Times New Roman" w:eastAsia="新細明體" w:hAnsi="Times New Roman" w:cs="Times New Roman"/>
      <w:sz w:val="20"/>
      <w:szCs w:val="20"/>
    </w:rPr>
  </w:style>
  <w:style w:type="paragraph" w:styleId="a8">
    <w:name w:val="Balloon Text"/>
    <w:basedOn w:val="a"/>
    <w:link w:val="a9"/>
    <w:uiPriority w:val="99"/>
    <w:semiHidden/>
    <w:unhideWhenUsed/>
    <w:rsid w:val="0001682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1682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jk</cp:lastModifiedBy>
  <cp:revision>8</cp:revision>
  <dcterms:created xsi:type="dcterms:W3CDTF">2014-04-18T13:34:00Z</dcterms:created>
  <dcterms:modified xsi:type="dcterms:W3CDTF">2014-06-12T10:04:00Z</dcterms:modified>
</cp:coreProperties>
</file>